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F" w:rsidRDefault="001C0AEF" w:rsidP="004E6A19">
      <w:pPr>
        <w:widowControl w:val="0"/>
        <w:rPr>
          <w:noProof/>
        </w:rPr>
      </w:pPr>
    </w:p>
    <w:p w:rsidR="001C0AEF" w:rsidRDefault="001C0AEF" w:rsidP="004E6A19">
      <w:pPr>
        <w:widowControl w:val="0"/>
        <w:rPr>
          <w:noProof/>
        </w:rPr>
      </w:pPr>
    </w:p>
    <w:p w:rsidR="004E6A19" w:rsidRDefault="001D122C" w:rsidP="004E6A19">
      <w:pPr>
        <w:widowControl w:val="0"/>
        <w:rPr>
          <w:rFonts w:ascii="Comic Sans MS" w:hAnsi="Comic Sans MS"/>
        </w:rPr>
      </w:pPr>
      <w:r w:rsidRPr="001D12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45pt;margin-top:48.15pt;width:372pt;height:371.25pt;z-index:1" stroked="f">
            <v:textbox>
              <w:txbxContent>
                <w:p w:rsidR="004E6A19" w:rsidRDefault="004E6A19" w:rsidP="004E6A1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Story Telling </w:t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br/>
                    <w:t>as an Academic Literacy Practice</w:t>
                  </w:r>
                </w:p>
                <w:p w:rsidR="004E6A19" w:rsidRDefault="004E6A19" w:rsidP="004E6A19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 </w:t>
                  </w:r>
                </w:p>
                <w:p w:rsidR="004E6A19" w:rsidRPr="004E6A19" w:rsidRDefault="004E6A19" w:rsidP="004E6A1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4E6A1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Monday, April 12</w:t>
                  </w:r>
                </w:p>
                <w:p w:rsidR="004E6A19" w:rsidRPr="004E6A19" w:rsidRDefault="004E6A19" w:rsidP="004E6A1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4E6A1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3:30-5 p.m. Library </w:t>
                  </w:r>
                  <w:proofErr w:type="spellStart"/>
                  <w:r w:rsidRPr="004E6A1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Skybridge</w:t>
                  </w:r>
                  <w:proofErr w:type="spellEnd"/>
                  <w:r w:rsidRPr="004E6A1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4E6A19" w:rsidRDefault="004E6A19" w:rsidP="004E6A19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4E6A19" w:rsidRDefault="004E6A19" w:rsidP="004E6A19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4E6A19" w:rsidRDefault="004E6A19" w:rsidP="004E6A19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 </w:t>
                  </w:r>
                </w:p>
                <w:p w:rsidR="004E6A19" w:rsidRDefault="004E6A19" w:rsidP="00C219A2">
                  <w:pPr>
                    <w:widowControl w:val="0"/>
                    <w:ind w:left="28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Faculty panelists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Joyce Hammond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(Anthropology),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Julia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Sapin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(Art History),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Maryann Reynolds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(Accounting), and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Rosemary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Vohs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6744A5">
                    <w:rPr>
                      <w:rFonts w:ascii="Comic Sans MS" w:hAnsi="Comic Sans MS"/>
                      <w:sz w:val="28"/>
                      <w:szCs w:val="28"/>
                    </w:rPr>
                    <w:t>Woodring</w:t>
                  </w:r>
                  <w:proofErr w:type="spellEnd"/>
                  <w:r w:rsidR="006744A5">
                    <w:rPr>
                      <w:rFonts w:ascii="Comic Sans MS" w:hAnsi="Comic Sans MS"/>
                      <w:sz w:val="28"/>
                      <w:szCs w:val="28"/>
                    </w:rPr>
                    <w:t xml:space="preserve"> and Communication)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will share ways that they have used story telling in their varying contexts to advance students' academic literacy, especially in terms of writing proficiency.  Participants will also have a chance to suggest additional ways.   </w:t>
                  </w:r>
                </w:p>
                <w:p w:rsidR="004E6A19" w:rsidRDefault="004E6A19" w:rsidP="004E6A19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4E6A19" w:rsidRDefault="004E6A19" w:rsidP="004E6A19">
                  <w:pPr>
                    <w:ind w:left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4E6A19" w:rsidRDefault="004E6A19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iteracy.jpg" style="width:347.25pt;height:466.5pt;visibility:visible">
            <v:imagedata r:id="rId4" o:title="literacy"/>
          </v:shape>
        </w:pict>
      </w:r>
    </w:p>
    <w:p w:rsidR="004E6A19" w:rsidRDefault="004E6A19" w:rsidP="004E6A19">
      <w:pPr>
        <w:widowControl w:val="0"/>
      </w:pPr>
      <w:r>
        <w:t> </w:t>
      </w:r>
    </w:p>
    <w:p w:rsidR="004E6A19" w:rsidRDefault="004E6A19" w:rsidP="004E6A19">
      <w:pPr>
        <w:widowControl w:val="0"/>
        <w:rPr>
          <w:rFonts w:ascii="Tahoma" w:hAnsi="Tahoma" w:cs="Tahoma"/>
          <w:sz w:val="28"/>
          <w:szCs w:val="28"/>
        </w:rPr>
      </w:pPr>
    </w:p>
    <w:p w:rsidR="004E6A19" w:rsidRPr="004E6A19" w:rsidRDefault="004E6A19" w:rsidP="004E6A19">
      <w:pPr>
        <w:widowControl w:val="0"/>
        <w:jc w:val="center"/>
        <w:rPr>
          <w:color w:val="17365D"/>
          <w:sz w:val="32"/>
          <w:szCs w:val="32"/>
        </w:rPr>
      </w:pPr>
      <w:r w:rsidRPr="004E6A19">
        <w:rPr>
          <w:rFonts w:ascii="Tahoma" w:hAnsi="Tahoma" w:cs="Tahoma"/>
          <w:color w:val="17365D"/>
          <w:sz w:val="32"/>
          <w:szCs w:val="32"/>
        </w:rPr>
        <w:t>Sponsored by the Teaching-Learning Academy &amp; Writing Instruction Support</w:t>
      </w:r>
    </w:p>
    <w:p w:rsidR="004E6A19" w:rsidRDefault="004E6A19" w:rsidP="004E6A19">
      <w:pPr>
        <w:widowControl w:val="0"/>
      </w:pPr>
      <w:r>
        <w:t> </w:t>
      </w:r>
    </w:p>
    <w:p w:rsidR="00D17061" w:rsidRDefault="00D17061"/>
    <w:sectPr w:rsidR="00D17061" w:rsidSect="00DB3D7B">
      <w:pgSz w:w="15840" w:h="12240" w:orient="landscape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A19"/>
    <w:rsid w:val="000802EE"/>
    <w:rsid w:val="001C0AEF"/>
    <w:rsid w:val="001D122C"/>
    <w:rsid w:val="001D70C6"/>
    <w:rsid w:val="003C5635"/>
    <w:rsid w:val="004E6A19"/>
    <w:rsid w:val="005B0CF2"/>
    <w:rsid w:val="005D2638"/>
    <w:rsid w:val="00640E50"/>
    <w:rsid w:val="006744A5"/>
    <w:rsid w:val="00735223"/>
    <w:rsid w:val="008D364A"/>
    <w:rsid w:val="009C3500"/>
    <w:rsid w:val="00A01089"/>
    <w:rsid w:val="00AC2071"/>
    <w:rsid w:val="00AC266A"/>
    <w:rsid w:val="00C219A2"/>
    <w:rsid w:val="00D17061"/>
    <w:rsid w:val="00DB3D7B"/>
    <w:rsid w:val="00D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1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adcox</dc:creator>
  <cp:lastModifiedBy>Carmen</cp:lastModifiedBy>
  <cp:revision>2</cp:revision>
  <cp:lastPrinted>2010-04-07T19:47:00Z</cp:lastPrinted>
  <dcterms:created xsi:type="dcterms:W3CDTF">2010-04-08T16:17:00Z</dcterms:created>
  <dcterms:modified xsi:type="dcterms:W3CDTF">2010-04-08T16:17:00Z</dcterms:modified>
</cp:coreProperties>
</file>